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lang w:eastAsia="en-GB"/>
        </w:rPr>
      </w:pPr>
      <w:r>
        <w:rPr>
          <w:rFonts w:ascii="Arial" w:hAnsi="Arial" w:cs="Arial"/>
          <w:b/>
        </w:rPr>
        <w:t>3GPP TSG-SA WG6 Meeting #68</w:t>
      </w:r>
      <w:r>
        <w:rPr>
          <w:rFonts w:ascii="Arial" w:hAnsi="Arial" w:cs="Arial"/>
          <w:b/>
        </w:rPr>
        <w:tab/>
      </w:r>
      <w:r>
        <w:rPr>
          <w:rFonts w:hint="eastAsia" w:ascii="Arial" w:hAnsi="Arial" w:cs="Arial"/>
          <w:b/>
        </w:rPr>
        <w:t>S6-253215</w:t>
      </w:r>
      <w:bookmarkStart w:id="0" w:name="_GoBack"/>
      <w:bookmarkEnd w:id="0"/>
    </w:p>
    <w:p w14:paraId="11C88A41">
      <w:pPr>
        <w:pBdr>
          <w:bottom w:val="single" w:color="auto" w:sz="4" w:space="1"/>
        </w:pBdr>
        <w:tabs>
          <w:tab w:val="right" w:pos="9214"/>
        </w:tabs>
        <w:rPr>
          <w:rFonts w:ascii="Arial" w:hAnsi="Arial" w:cs="Arial"/>
          <w:b/>
        </w:rPr>
      </w:pPr>
      <w:r>
        <w:rPr>
          <w:rFonts w:ascii="Arial" w:hAnsi="Arial" w:cs="Arial"/>
          <w:b/>
        </w:rPr>
        <w:t>Gothenburg, Sweden 25</w:t>
      </w:r>
      <w:r>
        <w:rPr>
          <w:rFonts w:ascii="Arial" w:hAnsi="Arial" w:cs="Arial"/>
          <w:b/>
          <w:vertAlign w:val="superscript"/>
        </w:rPr>
        <w:t>th</w:t>
      </w:r>
      <w:r>
        <w:rPr>
          <w:rFonts w:ascii="Arial" w:hAnsi="Arial" w:cs="Arial"/>
          <w:b/>
        </w:rPr>
        <w:t xml:space="preserve"> – 29</w:t>
      </w:r>
      <w:r>
        <w:rPr>
          <w:rFonts w:ascii="Arial" w:hAnsi="Arial" w:cs="Arial"/>
          <w:b/>
          <w:vertAlign w:val="superscript"/>
        </w:rPr>
        <w:t>th</w:t>
      </w:r>
      <w:r>
        <w:rPr>
          <w:rFonts w:ascii="Arial" w:hAnsi="Arial" w:cs="Arial"/>
          <w:b/>
        </w:rPr>
        <w:t xml:space="preserve"> August 2025</w:t>
      </w:r>
      <w:r>
        <w:rPr>
          <w:rFonts w:ascii="Arial" w:hAnsi="Arial" w:cs="Arial"/>
          <w:b/>
        </w:rPr>
        <w:tab/>
      </w:r>
      <w:r>
        <w:rPr>
          <w:rFonts w:ascii="Arial" w:hAnsi="Arial" w:cs="Arial"/>
          <w:b/>
        </w:rPr>
        <w:t>(revision of S6-253xxx)</w:t>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SID on 3GPP enabler in 6G Era</w:t>
      </w:r>
      <w:r>
        <w:rPr>
          <w:rFonts w:ascii="Arial" w:hAnsi="Arial" w:eastAsia="Batang" w:cs="Arial"/>
          <w:b/>
          <w:sz w:val="24"/>
          <w:szCs w:val="24"/>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xxx</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eastAsia="Times New Roman" w:cs="Times New Roman"/>
          <w:color w:val="auto"/>
          <w:sz w:val="36"/>
          <w:szCs w:val="20"/>
          <w:lang w:val="en-US" w:eastAsia="zh-CN"/>
        </w:rPr>
        <w:t>Study on 3GPP enabler in 6G Era</w:t>
      </w:r>
    </w:p>
    <w:p w14:paraId="4520DCE2">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FS_6G_</w:t>
      </w:r>
      <w:r>
        <w:rPr>
          <w:rFonts w:hint="eastAsia" w:ascii="Arial" w:hAnsi="Arial" w:eastAsia="宋体" w:cs="Times New Roman"/>
          <w:color w:val="auto"/>
          <w:sz w:val="36"/>
          <w:szCs w:val="20"/>
          <w:lang w:val="en-US" w:eastAsia="zh-CN"/>
        </w:rPr>
        <w:t>Enabler</w:t>
      </w: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6"/>
            </w:pPr>
            <w:r>
              <w:t>Affects:</w:t>
            </w:r>
          </w:p>
        </w:tc>
        <w:tc>
          <w:tcPr>
            <w:tcW w:w="1275" w:type="dxa"/>
            <w:tcBorders>
              <w:left w:val="nil"/>
              <w:bottom w:val="single" w:color="auto" w:sz="12" w:space="0"/>
            </w:tcBorders>
            <w:shd w:val="clear" w:color="auto" w:fill="E0E0E0"/>
          </w:tcPr>
          <w:p w14:paraId="17341A5A">
            <w:pPr>
              <w:pStyle w:val="26"/>
            </w:pPr>
            <w:r>
              <w:t>UICC apps</w:t>
            </w:r>
          </w:p>
        </w:tc>
        <w:tc>
          <w:tcPr>
            <w:tcW w:w="1037" w:type="dxa"/>
            <w:tcBorders>
              <w:bottom w:val="single" w:color="auto" w:sz="12" w:space="0"/>
            </w:tcBorders>
            <w:shd w:val="clear" w:color="auto" w:fill="E0E0E0"/>
          </w:tcPr>
          <w:p w14:paraId="44E3AEE9">
            <w:pPr>
              <w:pStyle w:val="26"/>
            </w:pPr>
            <w:r>
              <w:t>ME</w:t>
            </w:r>
          </w:p>
        </w:tc>
        <w:tc>
          <w:tcPr>
            <w:tcW w:w="850" w:type="dxa"/>
            <w:tcBorders>
              <w:bottom w:val="single" w:color="auto" w:sz="12" w:space="0"/>
            </w:tcBorders>
            <w:shd w:val="clear" w:color="auto" w:fill="E0E0E0"/>
          </w:tcPr>
          <w:p w14:paraId="6DB9EDAB">
            <w:pPr>
              <w:pStyle w:val="26"/>
            </w:pPr>
            <w:r>
              <w:t>AN</w:t>
            </w:r>
          </w:p>
        </w:tc>
        <w:tc>
          <w:tcPr>
            <w:tcW w:w="851" w:type="dxa"/>
            <w:tcBorders>
              <w:bottom w:val="single" w:color="auto" w:sz="12" w:space="0"/>
            </w:tcBorders>
            <w:shd w:val="clear" w:color="auto" w:fill="E0E0E0"/>
          </w:tcPr>
          <w:p w14:paraId="10DFAED6">
            <w:pPr>
              <w:pStyle w:val="26"/>
            </w:pPr>
            <w:r>
              <w:t>CN</w:t>
            </w:r>
          </w:p>
        </w:tc>
        <w:tc>
          <w:tcPr>
            <w:tcW w:w="1752" w:type="dxa"/>
            <w:tcBorders>
              <w:bottom w:val="single" w:color="auto" w:sz="12" w:space="0"/>
            </w:tcBorders>
            <w:shd w:val="clear" w:color="auto" w:fill="E0E0E0"/>
          </w:tcPr>
          <w:p w14:paraId="70430901">
            <w:pPr>
              <w:pStyle w:val="26"/>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6"/>
            </w:pPr>
            <w:r>
              <w:t>Yes</w:t>
            </w:r>
          </w:p>
        </w:tc>
        <w:tc>
          <w:tcPr>
            <w:tcW w:w="1275" w:type="dxa"/>
            <w:tcBorders>
              <w:top w:val="nil"/>
              <w:left w:val="nil"/>
            </w:tcBorders>
          </w:tcPr>
          <w:p w14:paraId="69C748BE">
            <w:pPr>
              <w:pStyle w:val="27"/>
            </w:pPr>
          </w:p>
        </w:tc>
        <w:tc>
          <w:tcPr>
            <w:tcW w:w="1037" w:type="dxa"/>
            <w:tcBorders>
              <w:top w:val="nil"/>
            </w:tcBorders>
          </w:tcPr>
          <w:p w14:paraId="1D3E8F18">
            <w:pPr>
              <w:pStyle w:val="27"/>
            </w:pPr>
            <w:r>
              <w:t>X</w:t>
            </w:r>
          </w:p>
        </w:tc>
        <w:tc>
          <w:tcPr>
            <w:tcW w:w="850" w:type="dxa"/>
            <w:tcBorders>
              <w:top w:val="nil"/>
            </w:tcBorders>
          </w:tcPr>
          <w:p w14:paraId="04045F0B">
            <w:pPr>
              <w:pStyle w:val="27"/>
            </w:pPr>
          </w:p>
        </w:tc>
        <w:tc>
          <w:tcPr>
            <w:tcW w:w="851" w:type="dxa"/>
            <w:tcBorders>
              <w:top w:val="nil"/>
            </w:tcBorders>
          </w:tcPr>
          <w:p w14:paraId="36BEDBE0">
            <w:pPr>
              <w:pStyle w:val="27"/>
            </w:pPr>
            <w:r>
              <w:t>X</w:t>
            </w:r>
          </w:p>
        </w:tc>
        <w:tc>
          <w:tcPr>
            <w:tcW w:w="1752" w:type="dxa"/>
            <w:tcBorders>
              <w:top w:val="nil"/>
            </w:tcBorders>
          </w:tcPr>
          <w:p w14:paraId="5305E0AA">
            <w:pPr>
              <w:pStyle w:val="27"/>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6"/>
            </w:pPr>
            <w:r>
              <w:t>No</w:t>
            </w:r>
          </w:p>
        </w:tc>
        <w:tc>
          <w:tcPr>
            <w:tcW w:w="1275" w:type="dxa"/>
            <w:tcBorders>
              <w:left w:val="nil"/>
            </w:tcBorders>
          </w:tcPr>
          <w:p w14:paraId="0B744189">
            <w:pPr>
              <w:pStyle w:val="27"/>
            </w:pPr>
          </w:p>
        </w:tc>
        <w:tc>
          <w:tcPr>
            <w:tcW w:w="1037" w:type="dxa"/>
          </w:tcPr>
          <w:p w14:paraId="0602D5C7">
            <w:pPr>
              <w:pStyle w:val="27"/>
            </w:pPr>
          </w:p>
        </w:tc>
        <w:tc>
          <w:tcPr>
            <w:tcW w:w="850" w:type="dxa"/>
          </w:tcPr>
          <w:p w14:paraId="35CFDED4">
            <w:pPr>
              <w:pStyle w:val="27"/>
            </w:pPr>
          </w:p>
        </w:tc>
        <w:tc>
          <w:tcPr>
            <w:tcW w:w="851" w:type="dxa"/>
          </w:tcPr>
          <w:p w14:paraId="02A432F3">
            <w:pPr>
              <w:pStyle w:val="27"/>
            </w:pPr>
          </w:p>
        </w:tc>
        <w:tc>
          <w:tcPr>
            <w:tcW w:w="1752" w:type="dxa"/>
          </w:tcPr>
          <w:p w14:paraId="70435623">
            <w:pPr>
              <w:pStyle w:val="27"/>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6"/>
            </w:pPr>
            <w:r>
              <w:t>Don't know</w:t>
            </w:r>
          </w:p>
        </w:tc>
        <w:tc>
          <w:tcPr>
            <w:tcW w:w="1275" w:type="dxa"/>
            <w:tcBorders>
              <w:left w:val="nil"/>
            </w:tcBorders>
          </w:tcPr>
          <w:p w14:paraId="4450E978">
            <w:pPr>
              <w:pStyle w:val="27"/>
            </w:pPr>
            <w:r>
              <w:t>X</w:t>
            </w:r>
          </w:p>
        </w:tc>
        <w:tc>
          <w:tcPr>
            <w:tcW w:w="1037" w:type="dxa"/>
          </w:tcPr>
          <w:p w14:paraId="6F19776F">
            <w:pPr>
              <w:pStyle w:val="27"/>
            </w:pPr>
          </w:p>
        </w:tc>
        <w:tc>
          <w:tcPr>
            <w:tcW w:w="850" w:type="dxa"/>
          </w:tcPr>
          <w:p w14:paraId="3F07CB2B">
            <w:pPr>
              <w:pStyle w:val="27"/>
            </w:pPr>
            <w:r>
              <w:t>X</w:t>
            </w:r>
          </w:p>
        </w:tc>
        <w:tc>
          <w:tcPr>
            <w:tcW w:w="851" w:type="dxa"/>
          </w:tcPr>
          <w:p w14:paraId="290A158D">
            <w:pPr>
              <w:pStyle w:val="27"/>
            </w:pPr>
          </w:p>
        </w:tc>
        <w:tc>
          <w:tcPr>
            <w:tcW w:w="1752" w:type="dxa"/>
          </w:tcPr>
          <w:p w14:paraId="02E98F67">
            <w:pPr>
              <w:pStyle w:val="27"/>
            </w:pPr>
            <w:r>
              <w:t>X</w:t>
            </w: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rPr>
          <w:rFonts w:hint="default" w:eastAsia="宋体"/>
          <w:lang w:val="en-US" w:eastAsia="zh-CN"/>
        </w:rPr>
      </w:pPr>
      <w:r>
        <w:t xml:space="preserve">This work item is a </w:t>
      </w:r>
      <w:r>
        <w:rPr>
          <w:rFonts w:hint="eastAsia" w:eastAsia="宋体"/>
          <w:lang w:val="en-US" w:eastAsia="zh-CN"/>
        </w:rPr>
        <w:t>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7"/>
            </w:pPr>
            <w:r>
              <w:t>X</w:t>
            </w:r>
          </w:p>
        </w:tc>
        <w:tc>
          <w:tcPr>
            <w:tcW w:w="2917" w:type="dxa"/>
            <w:shd w:val="clear" w:color="auto" w:fill="E0E0E0"/>
          </w:tcPr>
          <w:p w14:paraId="0ED22864">
            <w:pPr>
              <w:pStyle w:val="26"/>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7"/>
            </w:pPr>
          </w:p>
        </w:tc>
        <w:tc>
          <w:tcPr>
            <w:tcW w:w="2917" w:type="dxa"/>
            <w:shd w:val="clear" w:color="auto" w:fill="E0E0E0"/>
          </w:tcPr>
          <w:p w14:paraId="58AA67F6">
            <w:pPr>
              <w:pStyle w:val="26"/>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7"/>
            </w:pPr>
          </w:p>
        </w:tc>
        <w:tc>
          <w:tcPr>
            <w:tcW w:w="2917" w:type="dxa"/>
            <w:shd w:val="clear" w:color="auto" w:fill="E0E0E0"/>
          </w:tcPr>
          <w:p w14:paraId="5E19322A">
            <w:pPr>
              <w:pStyle w:val="26"/>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7"/>
            </w:pPr>
          </w:p>
        </w:tc>
        <w:tc>
          <w:tcPr>
            <w:tcW w:w="2917" w:type="dxa"/>
            <w:shd w:val="clear" w:color="auto" w:fill="E0E0E0"/>
          </w:tcPr>
          <w:p w14:paraId="4D2C82D4">
            <w:pPr>
              <w:pStyle w:val="26"/>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7"/>
            </w:pPr>
          </w:p>
        </w:tc>
        <w:tc>
          <w:tcPr>
            <w:tcW w:w="2917" w:type="dxa"/>
            <w:shd w:val="clear" w:color="auto" w:fill="E0E0E0"/>
          </w:tcPr>
          <w:p w14:paraId="4B700A55">
            <w:pPr>
              <w:pStyle w:val="26"/>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6"/>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6"/>
              <w:ind w:right="-99"/>
              <w:jc w:val="left"/>
            </w:pPr>
            <w:r>
              <w:t>Acronym</w:t>
            </w:r>
          </w:p>
        </w:tc>
        <w:tc>
          <w:tcPr>
            <w:tcW w:w="1101" w:type="dxa"/>
            <w:shd w:val="clear" w:color="auto" w:fill="E0E0E0"/>
          </w:tcPr>
          <w:p w14:paraId="0E8ED1B9">
            <w:pPr>
              <w:pStyle w:val="26"/>
              <w:ind w:right="-99"/>
              <w:jc w:val="left"/>
            </w:pPr>
            <w:r>
              <w:t>Working Group</w:t>
            </w:r>
          </w:p>
        </w:tc>
        <w:tc>
          <w:tcPr>
            <w:tcW w:w="1101" w:type="dxa"/>
            <w:shd w:val="clear" w:color="auto" w:fill="E0E0E0"/>
          </w:tcPr>
          <w:p w14:paraId="18104C59">
            <w:pPr>
              <w:pStyle w:val="26"/>
              <w:ind w:right="-99"/>
              <w:jc w:val="left"/>
            </w:pPr>
            <w:r>
              <w:t>Unique ID</w:t>
            </w:r>
          </w:p>
        </w:tc>
        <w:tc>
          <w:tcPr>
            <w:tcW w:w="6010" w:type="dxa"/>
            <w:shd w:val="clear" w:color="auto" w:fill="E0E0E0"/>
          </w:tcPr>
          <w:p w14:paraId="444DB744">
            <w:pPr>
              <w:pStyle w:val="26"/>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68BCEFEC">
            <w:pPr>
              <w:pStyle w:val="25"/>
              <w:rPr>
                <w:rFonts w:ascii="Arial" w:hAnsi="Arial" w:eastAsia="Times New Roman" w:cs="Times New Roman"/>
                <w:color w:val="000000"/>
                <w:sz w:val="18"/>
                <w:lang w:val="en-GB" w:eastAsia="ja-JP" w:bidi="ar-SA"/>
              </w:rPr>
            </w:pPr>
            <w:r>
              <w:t>FS_6G_REQ</w:t>
            </w:r>
          </w:p>
        </w:tc>
        <w:tc>
          <w:tcPr>
            <w:tcW w:w="1101" w:type="dxa"/>
            <w:shd w:val="clear" w:color="auto" w:fill="auto"/>
            <w:vAlign w:val="top"/>
          </w:tcPr>
          <w:p w14:paraId="334D300A">
            <w:pPr>
              <w:pStyle w:val="25"/>
              <w:rPr>
                <w:rFonts w:ascii="Arial" w:hAnsi="Arial" w:eastAsia="Times New Roman" w:cs="Times New Roman"/>
                <w:color w:val="000000"/>
                <w:sz w:val="18"/>
                <w:lang w:val="en-GB" w:eastAsia="ja-JP" w:bidi="ar-SA"/>
              </w:rPr>
            </w:pPr>
            <w:r>
              <w:rPr>
                <w:rFonts w:hint="eastAsia"/>
                <w:lang w:eastAsia="zh-CN"/>
              </w:rPr>
              <w:t>S</w:t>
            </w:r>
            <w:r>
              <w:rPr>
                <w:lang w:eastAsia="zh-CN"/>
              </w:rPr>
              <w:t>A WG1</w:t>
            </w:r>
          </w:p>
        </w:tc>
        <w:tc>
          <w:tcPr>
            <w:tcW w:w="1101" w:type="dxa"/>
            <w:shd w:val="clear" w:color="auto" w:fill="auto"/>
            <w:vAlign w:val="top"/>
          </w:tcPr>
          <w:p w14:paraId="3338BA6A">
            <w:pPr>
              <w:pStyle w:val="25"/>
              <w:rPr>
                <w:rFonts w:ascii="Arial" w:hAnsi="Arial" w:eastAsia="Times New Roman" w:cs="Times New Roman"/>
                <w:color w:val="000000"/>
                <w:sz w:val="18"/>
                <w:lang w:val="en-GB" w:eastAsia="ja-JP" w:bidi="ar-SA"/>
              </w:rPr>
            </w:pPr>
            <w:r>
              <w:t>1050110</w:t>
            </w:r>
          </w:p>
        </w:tc>
        <w:tc>
          <w:tcPr>
            <w:tcW w:w="6010" w:type="dxa"/>
            <w:shd w:val="clear" w:color="auto" w:fill="auto"/>
            <w:vAlign w:val="top"/>
          </w:tcPr>
          <w:p w14:paraId="225432A0">
            <w:pPr>
              <w:pStyle w:val="25"/>
              <w:rPr>
                <w:rFonts w:ascii="Arial" w:hAnsi="Arial" w:eastAsia="Times New Roman" w:cs="Times New Roman"/>
                <w:color w:val="000000"/>
                <w:sz w:val="18"/>
                <w:lang w:val="en-GB" w:eastAsia="ja-JP" w:bidi="ar-SA"/>
              </w:rPr>
            </w:pPr>
            <w:r>
              <w:t>Study on 6G Use Cases and Service Requirements; Stage 1</w:t>
            </w:r>
          </w:p>
        </w:tc>
      </w:tr>
    </w:tbl>
    <w:p w14:paraId="383DA93B"/>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6"/>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6"/>
            </w:pPr>
            <w:r>
              <w:t>Unique ID</w:t>
            </w:r>
          </w:p>
        </w:tc>
        <w:tc>
          <w:tcPr>
            <w:tcW w:w="3326" w:type="dxa"/>
            <w:shd w:val="clear" w:color="auto" w:fill="E0E0E0"/>
          </w:tcPr>
          <w:p w14:paraId="74D80133">
            <w:pPr>
              <w:pStyle w:val="26"/>
            </w:pPr>
            <w:r>
              <w:t>Title</w:t>
            </w:r>
          </w:p>
        </w:tc>
        <w:tc>
          <w:tcPr>
            <w:tcW w:w="5099" w:type="dxa"/>
            <w:shd w:val="clear" w:color="auto" w:fill="E0E0E0"/>
          </w:tcPr>
          <w:p w14:paraId="1DB2E63C">
            <w:pPr>
              <w:pStyle w:val="26"/>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2A3B29D4">
            <w:pPr>
              <w:pStyle w:val="25"/>
              <w:rPr>
                <w:rFonts w:ascii="Arial" w:hAnsi="Arial" w:eastAsia="Times New Roman" w:cs="Times New Roman"/>
                <w:color w:val="000000"/>
                <w:sz w:val="18"/>
                <w:lang w:val="en-GB" w:eastAsia="ja-JP" w:bidi="ar-SA"/>
              </w:rPr>
            </w:pPr>
            <w:r>
              <w:t>1080057</w:t>
            </w:r>
          </w:p>
        </w:tc>
        <w:tc>
          <w:tcPr>
            <w:tcW w:w="3326" w:type="dxa"/>
            <w:shd w:val="clear" w:color="auto" w:fill="auto"/>
            <w:vAlign w:val="top"/>
          </w:tcPr>
          <w:p w14:paraId="3AC061FD">
            <w:pPr>
              <w:pStyle w:val="25"/>
              <w:rPr>
                <w:rFonts w:ascii="Arial" w:hAnsi="Arial" w:eastAsia="Times New Roman" w:cs="Times New Roman"/>
                <w:color w:val="000000"/>
                <w:sz w:val="18"/>
                <w:lang w:val="en-GB" w:eastAsia="ja-JP" w:bidi="ar-SA"/>
              </w:rPr>
            </w:pPr>
            <w:r>
              <w:t>Study on Architecture for 6G System (FS_6G_ARC)</w:t>
            </w:r>
          </w:p>
        </w:tc>
        <w:tc>
          <w:tcPr>
            <w:tcW w:w="5099" w:type="dxa"/>
            <w:shd w:val="clear" w:color="auto" w:fill="auto"/>
            <w:vAlign w:val="top"/>
          </w:tcPr>
          <w:p w14:paraId="017BF4B1">
            <w:pPr>
              <w:pStyle w:val="23"/>
              <w:rPr>
                <w:rFonts w:ascii="Arial" w:hAnsi="Arial" w:eastAsia="Times New Roman" w:cs="Times New Roman"/>
                <w:i w:val="0"/>
                <w:color w:val="000000"/>
                <w:sz w:val="18"/>
                <w:lang w:val="en-GB" w:eastAsia="ja-JP" w:bidi="ar-SA"/>
              </w:rPr>
            </w:pPr>
            <w:r>
              <w:rPr>
                <w:rFonts w:ascii="Arial" w:hAnsi="Arial"/>
                <w:i w:val="0"/>
                <w:sz w:val="18"/>
              </w:rPr>
              <w:t xml:space="preserve">Potential 3GPP Core Network dependencies </w:t>
            </w:r>
          </w:p>
        </w:tc>
      </w:tr>
    </w:tbl>
    <w:p w14:paraId="7AF77AEC">
      <w:pPr>
        <w:pStyle w:val="28"/>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BCA311C">
      <w:pPr>
        <w:pStyle w:val="23"/>
        <w:jc w:val="both"/>
        <w:rPr>
          <w:rFonts w:hint="eastAsia"/>
          <w:bCs/>
          <w:i w:val="0"/>
          <w:color w:val="auto"/>
          <w:lang w:eastAsia="en-US"/>
        </w:rPr>
      </w:pPr>
      <w:r>
        <w:rPr>
          <w:rFonts w:hint="eastAsia"/>
          <w:bCs/>
          <w:i w:val="0"/>
          <w:color w:val="auto"/>
          <w:lang w:val="en-US" w:eastAsia="zh-CN"/>
        </w:rPr>
        <w:t>C</w:t>
      </w:r>
      <w:r>
        <w:rPr>
          <w:rFonts w:hint="eastAsia"/>
          <w:bCs/>
          <w:i w:val="0"/>
          <w:color w:val="auto"/>
          <w:lang w:eastAsia="en-US"/>
        </w:rPr>
        <w:t xml:space="preserve">apability </w:t>
      </w:r>
      <w:r>
        <w:rPr>
          <w:rFonts w:hint="eastAsia"/>
          <w:bCs/>
          <w:i w:val="0"/>
          <w:color w:val="auto"/>
          <w:lang w:val="en-US" w:eastAsia="zh-CN"/>
        </w:rPr>
        <w:t>exposure</w:t>
      </w:r>
      <w:r>
        <w:rPr>
          <w:rFonts w:hint="eastAsia"/>
          <w:bCs/>
          <w:i w:val="0"/>
          <w:color w:val="auto"/>
          <w:lang w:eastAsia="en-US"/>
        </w:rPr>
        <w:t xml:space="preserve"> is a key pathway for operators to accelerate the commercialization of 5G/5G-A and </w:t>
      </w:r>
      <w:r>
        <w:rPr>
          <w:rFonts w:hint="eastAsia" w:eastAsia="宋体"/>
          <w:bCs/>
          <w:i w:val="0"/>
          <w:color w:val="auto"/>
          <w:lang w:val="en-US" w:eastAsia="zh-CN"/>
        </w:rPr>
        <w:t>future</w:t>
      </w:r>
      <w:r>
        <w:rPr>
          <w:rFonts w:hint="eastAsia"/>
          <w:bCs/>
          <w:i w:val="0"/>
          <w:color w:val="auto"/>
          <w:lang w:eastAsia="en-US"/>
        </w:rPr>
        <w:t xml:space="preserve"> 6G networks. Against the backdrop of slowing growth in traditional communication services, capability </w:t>
      </w:r>
      <w:r>
        <w:rPr>
          <w:rFonts w:hint="eastAsia" w:eastAsia="宋体"/>
          <w:bCs/>
          <w:i w:val="0"/>
          <w:color w:val="auto"/>
          <w:lang w:val="en-US" w:eastAsia="zh-CN"/>
        </w:rPr>
        <w:t>exposure</w:t>
      </w:r>
      <w:r>
        <w:rPr>
          <w:rFonts w:hint="eastAsia"/>
          <w:bCs/>
          <w:i w:val="0"/>
          <w:color w:val="auto"/>
          <w:lang w:eastAsia="en-US"/>
        </w:rPr>
        <w:t xml:space="preserve"> will create new business growth opportunities for operators.</w:t>
      </w:r>
    </w:p>
    <w:p w14:paraId="76A349A0">
      <w:pPr>
        <w:pStyle w:val="23"/>
        <w:jc w:val="both"/>
        <w:rPr>
          <w:rFonts w:hint="eastAsia"/>
          <w:bCs/>
          <w:i w:val="0"/>
          <w:color w:val="auto"/>
          <w:lang w:eastAsia="en-US"/>
        </w:rPr>
      </w:pPr>
      <w:r>
        <w:rPr>
          <w:rFonts w:hint="eastAsia"/>
          <w:bCs/>
          <w:i w:val="0"/>
          <w:color w:val="auto"/>
          <w:lang w:eastAsia="en-US"/>
        </w:rPr>
        <w:t xml:space="preserve">In the 6G era, SA1 has initiated studies on 6G use cases and service requirements, with corresponding outputs documented in 3GPP TR 22.870, </w:t>
      </w:r>
      <w:r>
        <w:rPr>
          <w:rFonts w:hint="eastAsia" w:eastAsia="宋体"/>
          <w:bCs/>
          <w:i w:val="0"/>
          <w:color w:val="auto"/>
          <w:lang w:val="en-US" w:eastAsia="zh-CN"/>
        </w:rPr>
        <w:t>Mean</w:t>
      </w:r>
      <w:r>
        <w:rPr>
          <w:rFonts w:hint="eastAsia"/>
          <w:bCs/>
          <w:i w:val="0"/>
          <w:color w:val="auto"/>
          <w:lang w:eastAsia="en-US"/>
        </w:rPr>
        <w:t>while SA2 has also agreed to commence research on 6G system architecture. Among the 6G use cases and service requirements studied by SA1, some involve requirements for 3GPP Enablers, such as the need to provide capability consumers with corresponding new 3GPP capabilities.</w:t>
      </w:r>
    </w:p>
    <w:p w14:paraId="53252C07">
      <w:pPr>
        <w:pStyle w:val="23"/>
        <w:jc w:val="both"/>
        <w:rPr>
          <w:rFonts w:hint="default"/>
          <w:bCs/>
          <w:i w:val="0"/>
          <w:color w:val="auto"/>
          <w:lang w:val="en-US" w:eastAsia="zh-CN"/>
        </w:rPr>
      </w:pPr>
      <w:r>
        <w:rPr>
          <w:rFonts w:hint="eastAsia"/>
          <w:bCs/>
          <w:i w:val="0"/>
          <w:color w:val="auto"/>
          <w:lang w:eastAsia="en-US"/>
        </w:rPr>
        <w:t xml:space="preserve">Despite its promising prospects, </w:t>
      </w:r>
      <w:r>
        <w:rPr>
          <w:rFonts w:hint="eastAsia"/>
          <w:bCs/>
          <w:i w:val="0"/>
          <w:color w:val="auto"/>
          <w:lang w:val="en-US" w:eastAsia="zh-CN"/>
        </w:rPr>
        <w:t>c</w:t>
      </w:r>
      <w:r>
        <w:rPr>
          <w:rFonts w:hint="eastAsia"/>
          <w:bCs/>
          <w:i w:val="0"/>
          <w:color w:val="auto"/>
          <w:lang w:eastAsia="en-US"/>
        </w:rPr>
        <w:t xml:space="preserve">apability </w:t>
      </w:r>
      <w:r>
        <w:rPr>
          <w:rFonts w:hint="eastAsia"/>
          <w:bCs/>
          <w:i w:val="0"/>
          <w:color w:val="auto"/>
          <w:lang w:val="en-US" w:eastAsia="zh-CN"/>
        </w:rPr>
        <w:t>exposure</w:t>
      </w:r>
      <w:r>
        <w:rPr>
          <w:rFonts w:hint="eastAsia"/>
          <w:bCs/>
          <w:i w:val="0"/>
          <w:color w:val="auto"/>
          <w:lang w:eastAsia="en-US"/>
        </w:rPr>
        <w:t xml:space="preserve"> still faces numerous challenges in practical implementation. Firstly, the </w:t>
      </w:r>
      <w:r>
        <w:rPr>
          <w:rFonts w:hint="eastAsia" w:eastAsia="宋体"/>
          <w:bCs/>
          <w:i w:val="0"/>
          <w:color w:val="auto"/>
          <w:lang w:val="en-US" w:eastAsia="zh-CN"/>
        </w:rPr>
        <w:t>enabler</w:t>
      </w:r>
      <w:r>
        <w:rPr>
          <w:rFonts w:hint="eastAsia"/>
          <w:bCs/>
          <w:i w:val="0"/>
          <w:color w:val="auto"/>
          <w:lang w:eastAsia="en-US"/>
        </w:rPr>
        <w:t xml:space="preserve"> framework and APIs adopt a CT-centric model, employing a bottom-up, network-driven approach that fails to align with actual business needs, resulting in poor user-friendliness.</w:t>
      </w:r>
      <w:r>
        <w:rPr>
          <w:rFonts w:hint="eastAsia" w:eastAsia="宋体"/>
          <w:bCs/>
          <w:i w:val="0"/>
          <w:color w:val="auto"/>
          <w:lang w:val="en-US" w:eastAsia="zh-CN"/>
        </w:rPr>
        <w:t xml:space="preserve"> </w:t>
      </w:r>
      <w:r>
        <w:rPr>
          <w:rFonts w:hint="eastAsia" w:ascii="Times New Roman" w:hAnsi="Times New Roman" w:eastAsia="Times New Roman" w:cs="Times New Roman"/>
          <w:i w:val="0"/>
          <w:color w:val="auto"/>
          <w:lang w:val="en-GB" w:eastAsia="en-US" w:bidi="ar-SA"/>
        </w:rPr>
        <w:t>Secondly, the lack of standardization in capability exposure has led to significant fragmentation, increasing implementation complexity. Moreover, for the broader ecosystem, SA6 Enablers and their relationship with 3GPP systems remain unfamiliar concepts, further hindering adoption.</w:t>
      </w:r>
      <w:r>
        <w:rPr>
          <w:rFonts w:hint="eastAsia" w:eastAsia="宋体" w:cs="Times New Roman"/>
          <w:i w:val="0"/>
          <w:color w:val="auto"/>
          <w:lang w:val="en-US" w:eastAsia="zh-CN" w:bidi="ar-SA"/>
        </w:rPr>
        <w:t xml:space="preserve"> </w:t>
      </w:r>
      <w:r>
        <w:rPr>
          <w:rFonts w:hint="eastAsia" w:eastAsia="宋体"/>
          <w:bCs/>
          <w:i w:val="0"/>
          <w:color w:val="auto"/>
          <w:lang w:val="en-US" w:eastAsia="zh-CN"/>
        </w:rPr>
        <w:t xml:space="preserve">SA6 already has some work items and external TRs, such as SEAL_Ph4 and CAPIF_EXT, which explain to developers what a 3GPP SA6 Enabler is and make the application enablement more user-friendly in the 5G-A era. In the 6G era, it would be ideal to provide the entire ecosystem with a clear and unified understanding of 3GPP Enablers from Day 1. Therefore, we recommend that the Enablers defined by SA6 be explicitly reflected in 3GPP's 6G </w:t>
      </w:r>
      <w:r>
        <w:rPr>
          <w:rFonts w:hint="eastAsia"/>
          <w:bCs/>
          <w:i w:val="0"/>
          <w:color w:val="auto"/>
          <w:lang w:val="en-US" w:eastAsia="zh-CN"/>
        </w:rPr>
        <w:t>system architecture.</w:t>
      </w:r>
    </w:p>
    <w:p w14:paraId="085FE887">
      <w:pPr>
        <w:pStyle w:val="23"/>
        <w:jc w:val="both"/>
        <w:rPr>
          <w:rFonts w:hint="eastAsia"/>
          <w:bCs/>
          <w:i w:val="0"/>
          <w:color w:val="auto"/>
          <w:lang w:val="en-US" w:eastAsia="zh-CN"/>
        </w:rPr>
      </w:pPr>
      <w:r>
        <w:rPr>
          <w:rFonts w:hint="eastAsia"/>
          <w:bCs/>
          <w:i w:val="0"/>
          <w:color w:val="auto"/>
          <w:lang w:val="en-US" w:eastAsia="zh-CN"/>
        </w:rPr>
        <w:t>On the other hand, the growing influence of emerging technologies—particularly the rise of AI—has deeply embedded intelligent concepts across all architectural layers and components. By leveraging AI technologies to achieve service demand awareness and intelligent matching/co-optimization with network resources and capabilities, the service experience quality for 3GPP capability consumers can be significantly enhanced. Consequently, it becomes imperative to explore how to integrate AI and other innovative technologies into the enabling layer itself (not the exposure of, e.g. AI, capabilities), thereby evolving the 3GPP enabling layer from simple network capability re-encapsulation to intelligent, intent-based and scenario-driven capability invocation and service enablement.</w:t>
      </w:r>
    </w:p>
    <w:p w14:paraId="6F78BBDD">
      <w:pPr>
        <w:pStyle w:val="23"/>
        <w:jc w:val="both"/>
        <w:rPr>
          <w:rFonts w:hint="eastAsia"/>
          <w:bCs/>
          <w:i w:val="0"/>
          <w:color w:val="auto"/>
          <w:lang w:val="en-US" w:eastAsia="zh-CN"/>
        </w:rPr>
      </w:pPr>
      <w:r>
        <w:rPr>
          <w:rFonts w:hint="eastAsia"/>
          <w:bCs/>
          <w:i w:val="0"/>
          <w:color w:val="auto"/>
          <w:lang w:val="en-US" w:eastAsia="zh-CN"/>
        </w:rPr>
        <w:t>Therefore, we recommend studying 3GPP's enabler architecture for the 6G era and explicitly incorporating it into 3GPP's overall 6G system architecture. This unified capability-network coordination enabler framework will facilitate the creation of a one-stop portal platform for the 3GPP capability consumer ecosystem, enabling the evolution from 'discrete capability exposure' to 'scenario-driven service delivery' in the 6G era.</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FA42C32">
      <w:pPr>
        <w:pStyle w:val="23"/>
        <w:jc w:val="both"/>
        <w:rPr>
          <w:rFonts w:hint="eastAsia"/>
          <w:bCs/>
          <w:i w:val="0"/>
          <w:color w:val="auto"/>
          <w:lang w:val="en-US" w:eastAsia="zh-CN"/>
        </w:rPr>
      </w:pPr>
      <w:r>
        <w:rPr>
          <w:rFonts w:hint="eastAsia"/>
          <w:bCs/>
          <w:i w:val="0"/>
          <w:color w:val="auto"/>
          <w:lang w:val="en-US" w:eastAsia="zh-CN"/>
        </w:rPr>
        <w:t>The objectives of this study include:</w:t>
      </w:r>
    </w:p>
    <w:p w14:paraId="7361EEA9">
      <w:pPr>
        <w:pStyle w:val="22"/>
        <w:numPr>
          <w:ilvl w:val="0"/>
          <w:numId w:val="0"/>
        </w:numPr>
        <w:ind w:left="360" w:leftChars="0"/>
        <w:rPr>
          <w:rFonts w:hint="eastAsia"/>
          <w:sz w:val="20"/>
          <w:szCs w:val="20"/>
          <w:lang w:val="en-US" w:eastAsia="zh-CN"/>
        </w:rPr>
      </w:pPr>
      <w:r>
        <w:rPr>
          <w:rFonts w:hint="eastAsia"/>
          <w:sz w:val="20"/>
          <w:szCs w:val="20"/>
          <w:lang w:val="en-US" w:eastAsia="zh-CN"/>
        </w:rPr>
        <w:t>1).</w:t>
      </w:r>
      <w:r>
        <w:rPr>
          <w:rFonts w:hint="eastAsia"/>
          <w:sz w:val="20"/>
          <w:szCs w:val="20"/>
          <w:lang w:val="en-US" w:eastAsia="zh-CN"/>
        </w:rPr>
        <w:tab/>
      </w:r>
      <w:r>
        <w:rPr>
          <w:rFonts w:hint="default"/>
          <w:sz w:val="20"/>
          <w:szCs w:val="20"/>
          <w:lang w:val="en-US" w:eastAsia="zh-CN"/>
        </w:rPr>
        <w:t>Based on</w:t>
      </w:r>
      <w:r>
        <w:rPr>
          <w:rFonts w:hint="eastAsia"/>
          <w:sz w:val="20"/>
          <w:szCs w:val="20"/>
          <w:lang w:val="en-US" w:eastAsia="zh-CN"/>
        </w:rPr>
        <w:t xml:space="preserve"> SA1's 6G use cases and service requirements, and challenges in practical implementation, identify the architectural requirements for 3GPP Enablers in the 6G era.</w:t>
      </w:r>
    </w:p>
    <w:p w14:paraId="65D160D5">
      <w:pPr>
        <w:pStyle w:val="22"/>
        <w:numPr>
          <w:ilvl w:val="0"/>
          <w:numId w:val="0"/>
        </w:numPr>
        <w:ind w:left="360" w:leftChars="0"/>
        <w:rPr>
          <w:rFonts w:hint="eastAsia"/>
          <w:sz w:val="20"/>
          <w:szCs w:val="20"/>
          <w:lang w:val="en-US" w:eastAsia="zh-CN"/>
        </w:rPr>
      </w:pPr>
      <w:r>
        <w:rPr>
          <w:rFonts w:hint="eastAsia"/>
          <w:sz w:val="20"/>
          <w:szCs w:val="20"/>
          <w:lang w:val="en-US" w:eastAsia="zh-CN"/>
        </w:rPr>
        <w:t>2).</w:t>
      </w:r>
      <w:r>
        <w:rPr>
          <w:rFonts w:hint="eastAsia"/>
          <w:sz w:val="20"/>
          <w:szCs w:val="20"/>
          <w:lang w:val="en-US" w:eastAsia="zh-CN"/>
        </w:rPr>
        <w:tab/>
      </w:r>
      <w:r>
        <w:rPr>
          <w:rFonts w:hint="eastAsia"/>
          <w:sz w:val="20"/>
          <w:szCs w:val="20"/>
          <w:lang w:val="en-US" w:eastAsia="zh-CN"/>
        </w:rPr>
        <w:t xml:space="preserve">Study the potential new capability abstraction and interaction models in 6G era, e.g. </w:t>
      </w:r>
    </w:p>
    <w:p w14:paraId="143B26FD">
      <w:pPr>
        <w:pStyle w:val="22"/>
        <w:numPr>
          <w:ilvl w:val="0"/>
          <w:numId w:val="0"/>
        </w:numPr>
        <w:spacing w:before="120"/>
        <w:ind w:left="1080" w:leftChars="0"/>
        <w:rPr>
          <w:rFonts w:hint="eastAsia"/>
          <w:bCs/>
          <w:sz w:val="20"/>
          <w:szCs w:val="20"/>
          <w:lang w:val="en-US" w:eastAsia="zh-CN"/>
        </w:rPr>
      </w:pPr>
      <w:r>
        <w:rPr>
          <w:rFonts w:hint="eastAsia"/>
          <w:bCs/>
          <w:sz w:val="20"/>
          <w:szCs w:val="20"/>
          <w:lang w:val="en-US" w:eastAsia="zh-CN"/>
        </w:rPr>
        <w:t>a.</w:t>
      </w:r>
      <w:r>
        <w:rPr>
          <w:rFonts w:hint="eastAsia"/>
          <w:bCs/>
          <w:sz w:val="20"/>
          <w:szCs w:val="20"/>
          <w:lang w:val="en-US" w:eastAsia="zh-CN"/>
        </w:rPr>
        <w:tab/>
      </w:r>
      <w:r>
        <w:rPr>
          <w:rFonts w:hint="eastAsia"/>
          <w:bCs/>
          <w:sz w:val="20"/>
          <w:szCs w:val="20"/>
          <w:lang w:val="en-US" w:eastAsia="zh-CN"/>
        </w:rPr>
        <w:t>Investigate potential extensions to the capability invocation model in CAPIF, including new invocation scenarios and related technologies, e.g., enabling Application Clients on UEs without Enabler Clients to directly consume capabilities provided by Enabler Servers.</w:t>
      </w:r>
    </w:p>
    <w:p w14:paraId="66DB72A7">
      <w:pPr>
        <w:pStyle w:val="22"/>
        <w:numPr>
          <w:ilvl w:val="0"/>
          <w:numId w:val="0"/>
        </w:numPr>
        <w:spacing w:before="120"/>
        <w:ind w:left="1080" w:leftChars="0"/>
        <w:rPr>
          <w:rFonts w:hint="eastAsia"/>
          <w:bCs/>
          <w:sz w:val="20"/>
          <w:szCs w:val="20"/>
          <w:lang w:val="en-US" w:eastAsia="zh-CN"/>
        </w:rPr>
      </w:pPr>
      <w:r>
        <w:rPr>
          <w:rFonts w:hint="eastAsia"/>
          <w:bCs/>
          <w:sz w:val="20"/>
          <w:szCs w:val="20"/>
          <w:lang w:val="en-US" w:eastAsia="zh-CN"/>
        </w:rPr>
        <w:t>b</w:t>
      </w:r>
      <w:r>
        <w:rPr>
          <w:rFonts w:hint="eastAsia"/>
          <w:bCs/>
          <w:sz w:val="20"/>
          <w:szCs w:val="20"/>
          <w:lang w:val="en-US" w:eastAsia="zh-CN"/>
        </w:rPr>
        <w:tab/>
      </w:r>
      <w:r>
        <w:rPr>
          <w:rFonts w:hint="eastAsia"/>
          <w:bCs/>
          <w:sz w:val="20"/>
          <w:szCs w:val="20"/>
          <w:lang w:val="en-US" w:eastAsia="zh-CN"/>
        </w:rPr>
        <w:t>Scenario-driven  capability exposure, i.e., the dynamic organization of 3GPP-provided APIs/services in real time to align with service intent.</w:t>
      </w:r>
    </w:p>
    <w:p w14:paraId="687D762A">
      <w:pPr>
        <w:pStyle w:val="22"/>
        <w:numPr>
          <w:ilvl w:val="0"/>
          <w:numId w:val="0"/>
        </w:numPr>
        <w:ind w:left="360" w:leftChars="0"/>
        <w:rPr>
          <w:rFonts w:hint="default"/>
          <w:sz w:val="20"/>
          <w:szCs w:val="20"/>
          <w:lang w:val="en-US" w:eastAsia="zh-CN"/>
        </w:rPr>
      </w:pPr>
      <w:r>
        <w:rPr>
          <w:rFonts w:hint="eastAsia"/>
          <w:sz w:val="20"/>
          <w:szCs w:val="20"/>
          <w:lang w:val="en-US" w:eastAsia="zh-CN"/>
        </w:rPr>
        <w:t>3).</w:t>
      </w:r>
      <w:r>
        <w:rPr>
          <w:rFonts w:hint="eastAsia"/>
          <w:sz w:val="20"/>
          <w:szCs w:val="20"/>
          <w:lang w:val="en-US" w:eastAsia="zh-CN"/>
        </w:rPr>
        <w:tab/>
      </w:r>
      <w:r>
        <w:rPr>
          <w:rFonts w:hint="eastAsia"/>
          <w:sz w:val="20"/>
          <w:szCs w:val="20"/>
          <w:lang w:val="en-US" w:eastAsia="zh-CN"/>
        </w:rPr>
        <w:t>Define a unified '3GPP Enabler Layer' architecture for 6G based on 1), 2) and explicitly include it in the 3GPP 6G system architecture.1</w:t>
      </w:r>
    </w:p>
    <w:p w14:paraId="30CCD342">
      <w:pPr>
        <w:pStyle w:val="22"/>
        <w:numPr>
          <w:ilvl w:val="0"/>
          <w:numId w:val="0"/>
        </w:numPr>
        <w:ind w:left="360" w:leftChars="0"/>
        <w:rPr>
          <w:rFonts w:hint="default"/>
          <w:sz w:val="20"/>
          <w:szCs w:val="20"/>
          <w:lang w:val="en-US" w:eastAsia="zh-CN"/>
        </w:rPr>
      </w:pPr>
      <w:r>
        <w:rPr>
          <w:rFonts w:hint="eastAsia"/>
          <w:sz w:val="20"/>
          <w:szCs w:val="20"/>
          <w:lang w:val="en-US" w:eastAsia="zh-CN"/>
        </w:rPr>
        <w:t>4).</w:t>
      </w:r>
      <w:r>
        <w:rPr>
          <w:rFonts w:hint="eastAsia"/>
          <w:sz w:val="20"/>
          <w:szCs w:val="20"/>
          <w:lang w:val="en-US" w:eastAsia="zh-CN"/>
        </w:rPr>
        <w:tab/>
      </w:r>
      <w:r>
        <w:rPr>
          <w:rFonts w:hint="eastAsia"/>
          <w:sz w:val="20"/>
          <w:szCs w:val="20"/>
          <w:lang w:val="en-US" w:eastAsia="zh-CN"/>
        </w:rPr>
        <w:t>Define the functions (potential enhancement of existing functions (e.g. CAPIF functions) and new functions in the 3GPP SA6 Enabler Layer architecture, and the necessary interaction procedures related to these functions</w:t>
      </w:r>
    </w:p>
    <w:p w14:paraId="3D2081AF">
      <w:pPr>
        <w:pStyle w:val="23"/>
        <w:jc w:val="both"/>
        <w:rPr>
          <w:rFonts w:hint="eastAsia"/>
          <w:bCs/>
          <w:i w:val="0"/>
          <w:color w:val="auto"/>
          <w:lang w:val="en-US" w:eastAsia="zh-CN"/>
        </w:rPr>
      </w:pPr>
      <w:r>
        <w:rPr>
          <w:rFonts w:hint="eastAsia"/>
          <w:bCs/>
          <w:i w:val="0"/>
          <w:color w:val="auto"/>
          <w:lang w:val="en-US" w:eastAsia="zh-CN"/>
        </w:rPr>
        <w:t>NOTE 1:</w:t>
      </w:r>
      <w:r>
        <w:rPr>
          <w:rFonts w:hint="eastAsia"/>
          <w:bCs/>
          <w:i w:val="0"/>
          <w:color w:val="auto"/>
          <w:lang w:val="en-US" w:eastAsia="zh-CN"/>
        </w:rPr>
        <w:tab/>
      </w:r>
      <w:r>
        <w:rPr>
          <w:rFonts w:hint="eastAsia"/>
          <w:bCs/>
          <w:i w:val="0"/>
          <w:color w:val="auto"/>
          <w:lang w:val="en-US" w:eastAsia="zh-CN"/>
        </w:rPr>
        <w:t>This 3GPP Enabler facilitates easier access to various 3GPP system capabilities for capability consumers, while maintaining existing direct capability exposure methods across all 3GPP system components.</w:t>
      </w:r>
    </w:p>
    <w:p w14:paraId="747033D8">
      <w:pPr>
        <w:pStyle w:val="23"/>
        <w:jc w:val="both"/>
        <w:rPr>
          <w:rFonts w:hint="default"/>
          <w:bCs/>
          <w:i w:val="0"/>
          <w:color w:val="auto"/>
          <w:lang w:val="en-US" w:eastAsia="zh-CN"/>
        </w:rPr>
      </w:pPr>
      <w:r>
        <w:rPr>
          <w:rFonts w:hint="eastAsia"/>
          <w:bCs/>
          <w:i w:val="0"/>
          <w:color w:val="auto"/>
          <w:lang w:val="en-US" w:eastAsia="zh-CN"/>
        </w:rPr>
        <w:t>NOTE 2:</w:t>
      </w:r>
      <w:r>
        <w:rPr>
          <w:rFonts w:hint="eastAsia"/>
          <w:bCs/>
          <w:i w:val="0"/>
          <w:color w:val="auto"/>
          <w:lang w:val="en-US" w:eastAsia="zh-CN"/>
        </w:rPr>
        <w:tab/>
      </w:r>
      <w:r>
        <w:rPr>
          <w:rFonts w:hint="eastAsia"/>
          <w:bCs/>
          <w:i w:val="0"/>
          <w:color w:val="auto"/>
          <w:lang w:val="en-US" w:eastAsia="zh-CN"/>
        </w:rPr>
        <w:t>For the objective 3), collaboration with SA2 is needed.</w:t>
      </w:r>
    </w:p>
    <w:p w14:paraId="7E25E209">
      <w:pPr>
        <w:pStyle w:val="23"/>
        <w:jc w:val="both"/>
        <w:rPr>
          <w:rFonts w:hint="default"/>
          <w:bCs/>
          <w:i w:val="0"/>
          <w:color w:val="auto"/>
          <w:lang w:val="en-US" w:eastAsia="zh-CN"/>
        </w:rPr>
      </w:pPr>
      <w:r>
        <w:rPr>
          <w:rFonts w:hint="eastAsia"/>
          <w:bCs/>
          <w:i w:val="0"/>
          <w:color w:val="auto"/>
          <w:lang w:val="en-US" w:eastAsia="zh-CN"/>
        </w:rPr>
        <w:t>NOTE 3:</w:t>
      </w:r>
      <w:r>
        <w:rPr>
          <w:rFonts w:hint="eastAsia"/>
          <w:bCs/>
          <w:i w:val="0"/>
          <w:color w:val="auto"/>
          <w:lang w:val="en-US" w:eastAsia="zh-CN"/>
        </w:rPr>
        <w:tab/>
      </w:r>
      <w:r>
        <w:rPr>
          <w:rFonts w:hint="eastAsia"/>
          <w:bCs/>
          <w:i w:val="0"/>
          <w:color w:val="auto"/>
          <w:lang w:val="en-US" w:eastAsia="zh-CN"/>
        </w:rPr>
        <w:t>The following normative works could be considered for inclusion in future CAPIF/SEAL normative phases, while the way forward is FFS.</w:t>
      </w: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6"/>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6"/>
            </w:pPr>
            <w:r>
              <w:t xml:space="preserve">Type </w:t>
            </w:r>
          </w:p>
        </w:tc>
        <w:tc>
          <w:tcPr>
            <w:tcW w:w="1134" w:type="dxa"/>
            <w:shd w:val="clear" w:color="auto" w:fill="D9D9D9"/>
            <w:tcMar>
              <w:left w:w="57" w:type="dxa"/>
              <w:right w:w="57" w:type="dxa"/>
            </w:tcMar>
          </w:tcPr>
          <w:p w14:paraId="20FC5D3B">
            <w:pPr>
              <w:pStyle w:val="26"/>
            </w:pPr>
            <w:r>
              <w:t>TS/TR number</w:t>
            </w:r>
          </w:p>
        </w:tc>
        <w:tc>
          <w:tcPr>
            <w:tcW w:w="2409" w:type="dxa"/>
            <w:shd w:val="clear" w:color="auto" w:fill="D9D9D9"/>
            <w:tcMar>
              <w:left w:w="57" w:type="dxa"/>
              <w:right w:w="57" w:type="dxa"/>
            </w:tcMar>
          </w:tcPr>
          <w:p w14:paraId="0C917615">
            <w:pPr>
              <w:pStyle w:val="26"/>
            </w:pPr>
            <w:r>
              <w:t>Title</w:t>
            </w:r>
          </w:p>
        </w:tc>
        <w:tc>
          <w:tcPr>
            <w:tcW w:w="993" w:type="dxa"/>
            <w:shd w:val="clear" w:color="auto" w:fill="D9D9D9"/>
            <w:tcMar>
              <w:left w:w="57" w:type="dxa"/>
              <w:right w:w="57" w:type="dxa"/>
            </w:tcMar>
          </w:tcPr>
          <w:p w14:paraId="436BA858">
            <w:pPr>
              <w:pStyle w:val="26"/>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6"/>
            </w:pPr>
            <w:r>
              <w:t>For approval at TSG#</w:t>
            </w:r>
          </w:p>
        </w:tc>
        <w:tc>
          <w:tcPr>
            <w:tcW w:w="2186" w:type="dxa"/>
            <w:shd w:val="clear" w:color="auto" w:fill="D9D9D9"/>
            <w:tcMar>
              <w:left w:w="57" w:type="dxa"/>
              <w:right w:w="57" w:type="dxa"/>
            </w:tcMar>
          </w:tcPr>
          <w:p w14:paraId="138BC39E">
            <w:pPr>
              <w:pStyle w:val="26"/>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194449B4">
            <w:pPr>
              <w:pStyle w:val="23"/>
              <w:spacing w:after="0"/>
            </w:pPr>
            <w:r>
              <w:rPr>
                <w:lang w:eastAsia="zh-CN"/>
              </w:rPr>
              <w:t>Internal</w:t>
            </w:r>
          </w:p>
        </w:tc>
        <w:tc>
          <w:tcPr>
            <w:tcW w:w="1134" w:type="dxa"/>
            <w:vAlign w:val="top"/>
          </w:tcPr>
          <w:p w14:paraId="1581EDBA">
            <w:pPr>
              <w:pStyle w:val="23"/>
              <w:spacing w:after="0"/>
            </w:pPr>
            <w:r>
              <w:rPr>
                <w:lang w:eastAsia="zh-CN"/>
              </w:rPr>
              <w:t xml:space="preserve">TR </w:t>
            </w:r>
            <w:r>
              <w:rPr>
                <w:rFonts w:hint="eastAsia"/>
                <w:lang w:eastAsia="zh-CN"/>
              </w:rPr>
              <w:t>2</w:t>
            </w:r>
            <w:r>
              <w:rPr>
                <w:lang w:eastAsia="zh-CN"/>
              </w:rPr>
              <w:t>3.xxx</w:t>
            </w:r>
          </w:p>
        </w:tc>
        <w:tc>
          <w:tcPr>
            <w:tcW w:w="2409" w:type="dxa"/>
            <w:vAlign w:val="top"/>
          </w:tcPr>
          <w:p w14:paraId="3489ADFF">
            <w:pPr>
              <w:pStyle w:val="23"/>
              <w:spacing w:after="0"/>
            </w:pPr>
            <w:r>
              <w:rPr>
                <w:rFonts w:hint="eastAsia"/>
              </w:rPr>
              <w:t>Study on 3GPP enabler in 6G Era</w:t>
            </w:r>
          </w:p>
        </w:tc>
        <w:tc>
          <w:tcPr>
            <w:tcW w:w="993" w:type="dxa"/>
            <w:vAlign w:val="top"/>
          </w:tcPr>
          <w:p w14:paraId="386C4469">
            <w:pPr>
              <w:pStyle w:val="25"/>
              <w:rPr>
                <w:rFonts w:hint="default"/>
                <w:lang w:val="en-US" w:eastAsia="zh-CN"/>
              </w:rPr>
            </w:pPr>
            <w:r>
              <w:rPr>
                <w:rFonts w:hint="eastAsia"/>
                <w:lang w:eastAsia="zh-CN"/>
              </w:rPr>
              <w:t>T</w:t>
            </w:r>
            <w:r>
              <w:rPr>
                <w:lang w:eastAsia="zh-CN"/>
              </w:rPr>
              <w:t>SG#</w:t>
            </w:r>
            <w:r>
              <w:rPr>
                <w:rFonts w:hint="eastAsia"/>
                <w:lang w:val="en-US" w:eastAsia="zh-CN"/>
              </w:rPr>
              <w:t>xxx</w:t>
            </w:r>
          </w:p>
          <w:p w14:paraId="4AD016D2">
            <w:pPr>
              <w:pStyle w:val="23"/>
              <w:spacing w:after="0"/>
            </w:pPr>
            <w:r>
              <w:rPr>
                <w:rFonts w:hint="eastAsia"/>
                <w:lang w:eastAsia="zh-CN"/>
              </w:rPr>
              <w:t>(</w:t>
            </w:r>
            <w:r>
              <w:rPr>
                <w:rFonts w:hint="eastAsia"/>
                <w:lang w:val="en-US" w:eastAsia="zh-CN"/>
              </w:rPr>
              <w:t>TBD</w:t>
            </w:r>
            <w:r>
              <w:rPr>
                <w:lang w:eastAsia="zh-CN"/>
              </w:rPr>
              <w:t>)</w:t>
            </w:r>
          </w:p>
        </w:tc>
        <w:tc>
          <w:tcPr>
            <w:tcW w:w="1074" w:type="dxa"/>
            <w:vAlign w:val="top"/>
          </w:tcPr>
          <w:p w14:paraId="2387964A">
            <w:pPr>
              <w:pStyle w:val="25"/>
              <w:rPr>
                <w:rFonts w:hint="default"/>
                <w:lang w:val="en-US" w:eastAsia="zh-CN"/>
              </w:rPr>
            </w:pPr>
            <w:r>
              <w:rPr>
                <w:rFonts w:hint="eastAsia"/>
                <w:lang w:eastAsia="zh-CN"/>
              </w:rPr>
              <w:t>T</w:t>
            </w:r>
            <w:r>
              <w:rPr>
                <w:lang w:eastAsia="zh-CN"/>
              </w:rPr>
              <w:t>SG#</w:t>
            </w:r>
            <w:r>
              <w:rPr>
                <w:rFonts w:hint="eastAsia"/>
                <w:lang w:val="en-US" w:eastAsia="zh-CN"/>
              </w:rPr>
              <w:t>xxx</w:t>
            </w:r>
          </w:p>
          <w:p w14:paraId="4F098D4F">
            <w:pPr>
              <w:pStyle w:val="23"/>
              <w:spacing w:after="0"/>
            </w:pPr>
            <w:r>
              <w:rPr>
                <w:rFonts w:hint="eastAsia"/>
                <w:lang w:eastAsia="zh-CN"/>
              </w:rPr>
              <w:t>(</w:t>
            </w:r>
            <w:r>
              <w:rPr>
                <w:rFonts w:hint="eastAsia"/>
                <w:lang w:val="en-US" w:eastAsia="zh-CN"/>
              </w:rPr>
              <w:t>TBD</w:t>
            </w:r>
            <w:r>
              <w:rPr>
                <w:lang w:eastAsia="zh-CN"/>
              </w:rPr>
              <w:t>)</w:t>
            </w:r>
          </w:p>
        </w:tc>
        <w:tc>
          <w:tcPr>
            <w:tcW w:w="2186" w:type="dxa"/>
            <w:vAlign w:val="top"/>
          </w:tcPr>
          <w:p w14:paraId="71B3D7AE">
            <w:pPr>
              <w:pStyle w:val="23"/>
              <w:spacing w:after="0"/>
            </w:pPr>
            <w:r>
              <w:t>{&lt;FamilyName&gt;, &lt;GivenName&gt;, &lt;Company&gt;, &lt;email address&gt;}</w:t>
            </w: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5"/>
            </w:pPr>
          </w:p>
        </w:tc>
        <w:tc>
          <w:tcPr>
            <w:tcW w:w="1134" w:type="dxa"/>
          </w:tcPr>
          <w:p w14:paraId="5F684E95">
            <w:pPr>
              <w:pStyle w:val="25"/>
            </w:pPr>
          </w:p>
        </w:tc>
        <w:tc>
          <w:tcPr>
            <w:tcW w:w="2409" w:type="dxa"/>
          </w:tcPr>
          <w:p w14:paraId="3F9BA4C9">
            <w:pPr>
              <w:pStyle w:val="25"/>
            </w:pPr>
          </w:p>
        </w:tc>
        <w:tc>
          <w:tcPr>
            <w:tcW w:w="993" w:type="dxa"/>
          </w:tcPr>
          <w:p w14:paraId="510D9A1F">
            <w:pPr>
              <w:pStyle w:val="25"/>
            </w:pPr>
          </w:p>
        </w:tc>
        <w:tc>
          <w:tcPr>
            <w:tcW w:w="1074" w:type="dxa"/>
          </w:tcPr>
          <w:p w14:paraId="11DE6EB5">
            <w:pPr>
              <w:pStyle w:val="25"/>
            </w:pPr>
          </w:p>
        </w:tc>
        <w:tc>
          <w:tcPr>
            <w:tcW w:w="2186" w:type="dxa"/>
          </w:tcPr>
          <w:p w14:paraId="1D49C842">
            <w:pPr>
              <w:pStyle w:val="25"/>
            </w:pPr>
          </w:p>
        </w:tc>
      </w:tr>
    </w:tbl>
    <w:p w14:paraId="72B99E38">
      <w:pPr>
        <w:pStyle w:val="28"/>
      </w:pPr>
    </w:p>
    <w:p w14:paraId="3E5E0EB7"/>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6"/>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6"/>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3"/>
              <w:spacing w:after="0"/>
            </w:pPr>
            <w:r>
              <w:t>{e.g. "22.281"}</w:t>
            </w:r>
          </w:p>
        </w:tc>
        <w:tc>
          <w:tcPr>
            <w:tcW w:w="4344" w:type="dxa"/>
            <w:tcBorders>
              <w:top w:val="single" w:color="auto" w:sz="4" w:space="0"/>
              <w:left w:val="single" w:color="auto" w:sz="4" w:space="0"/>
              <w:bottom w:val="single" w:color="auto" w:sz="4" w:space="0"/>
              <w:right w:val="single" w:color="auto" w:sz="4" w:space="0"/>
            </w:tcBorders>
          </w:tcPr>
          <w:p w14:paraId="478735EB">
            <w:pPr>
              <w:pStyle w:val="23"/>
              <w:spacing w:after="0"/>
            </w:pPr>
            <w:r>
              <w:t xml:space="preserve">{Possible values: </w:t>
            </w:r>
          </w:p>
          <w:p w14:paraId="292C4506">
            <w:pPr>
              <w:pStyle w:val="23"/>
              <w:spacing w:after="0"/>
            </w:pPr>
            <w:r>
              <w:t xml:space="preserve">- either free text (e.g. “CS aspects to be removed") </w:t>
            </w:r>
            <w:r>
              <w:br w:type="textWrapping"/>
            </w:r>
            <w:r>
              <w:t>- or “Specification to be withdrawn”}</w:t>
            </w:r>
          </w:p>
        </w:tc>
        <w:tc>
          <w:tcPr>
            <w:tcW w:w="1417" w:type="dxa"/>
            <w:tcBorders>
              <w:top w:val="single" w:color="auto" w:sz="4" w:space="0"/>
              <w:left w:val="single" w:color="auto" w:sz="4" w:space="0"/>
              <w:bottom w:val="single" w:color="auto" w:sz="4" w:space="0"/>
              <w:right w:val="single" w:color="auto" w:sz="4" w:space="0"/>
            </w:tcBorders>
          </w:tcPr>
          <w:p w14:paraId="2260CA0D">
            <w:pPr>
              <w:pStyle w:val="23"/>
              <w:spacing w:after="0"/>
            </w:pPr>
            <w:r>
              <w:t>{e.g. "TSG#89"}</w:t>
            </w:r>
          </w:p>
        </w:tc>
        <w:tc>
          <w:tcPr>
            <w:tcW w:w="2101" w:type="dxa"/>
            <w:tcBorders>
              <w:top w:val="single" w:color="auto" w:sz="4" w:space="0"/>
              <w:left w:val="single" w:color="auto" w:sz="4" w:space="0"/>
              <w:bottom w:val="single" w:color="auto" w:sz="4" w:space="0"/>
              <w:right w:val="single" w:color="auto" w:sz="4" w:space="0"/>
            </w:tcBorders>
          </w:tcPr>
          <w:p w14:paraId="76342A83">
            <w:pPr>
              <w:pStyle w:val="23"/>
              <w:spacing w:after="0"/>
            </w:pPr>
            <w:r>
              <w:t>{Free text, e.g. "This TS covers Stage 2" or "This TS covers Stage 3" or "This TS covers both stages 2 and 3"}</w:t>
            </w: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5"/>
            </w:pPr>
          </w:p>
        </w:tc>
        <w:tc>
          <w:tcPr>
            <w:tcW w:w="4344" w:type="dxa"/>
            <w:tcBorders>
              <w:top w:val="single" w:color="auto" w:sz="4" w:space="0"/>
              <w:left w:val="single" w:color="auto" w:sz="4" w:space="0"/>
              <w:bottom w:val="single" w:color="auto" w:sz="4" w:space="0"/>
              <w:right w:val="single" w:color="auto" w:sz="4" w:space="0"/>
            </w:tcBorders>
          </w:tcPr>
          <w:p w14:paraId="5829B976">
            <w:pPr>
              <w:pStyle w:val="25"/>
            </w:pPr>
          </w:p>
        </w:tc>
        <w:tc>
          <w:tcPr>
            <w:tcW w:w="1417" w:type="dxa"/>
            <w:tcBorders>
              <w:top w:val="single" w:color="auto" w:sz="4" w:space="0"/>
              <w:left w:val="single" w:color="auto" w:sz="4" w:space="0"/>
              <w:bottom w:val="single" w:color="auto" w:sz="4" w:space="0"/>
              <w:right w:val="single" w:color="auto" w:sz="4" w:space="0"/>
            </w:tcBorders>
          </w:tcPr>
          <w:p w14:paraId="53BCD47C">
            <w:pPr>
              <w:pStyle w:val="25"/>
            </w:pPr>
          </w:p>
        </w:tc>
        <w:tc>
          <w:tcPr>
            <w:tcW w:w="2101" w:type="dxa"/>
            <w:tcBorders>
              <w:top w:val="single" w:color="auto" w:sz="4" w:space="0"/>
              <w:left w:val="single" w:color="auto" w:sz="4" w:space="0"/>
              <w:bottom w:val="single" w:color="auto" w:sz="4" w:space="0"/>
              <w:right w:val="single" w:color="auto" w:sz="4" w:space="0"/>
            </w:tcBorders>
          </w:tcPr>
          <w:p w14:paraId="0E30731D">
            <w:pPr>
              <w:pStyle w:val="25"/>
            </w:pP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5DDDF521">
      <w:pPr>
        <w:pStyle w:val="23"/>
      </w:pPr>
      <w:r>
        <w:t>{Mandatory: &lt;FamilyName&gt;, &lt;GivenName&gt;, &lt;Company&gt;, &lt;email address&gt;}</w:t>
      </w:r>
    </w:p>
    <w:p w14:paraId="2711CDE1">
      <w:pPr>
        <w:pStyle w:val="23"/>
      </w:pPr>
      <w:r>
        <w:t>{Optional: &lt;FamilyName&gt;, &lt;GivenName&gt;, &lt;Company&gt;, &lt;email address&gt;: Secondary task(s)}</w:t>
      </w: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B385801">
      <w:pPr>
        <w:pStyle w:val="23"/>
        <w:rPr>
          <w:rFonts w:hint="default"/>
          <w:i w:val="0"/>
          <w:iCs/>
          <w:lang w:val="en-US" w:eastAsia="zh-CN"/>
        </w:rPr>
      </w:pPr>
      <w:r>
        <w:rPr>
          <w:rFonts w:hint="eastAsia"/>
          <w:i w:val="0"/>
          <w:iCs/>
          <w:lang w:val="en-US" w:eastAsia="zh-CN"/>
        </w:rPr>
        <w:t>SA6</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1E7B3B">
      <w:pPr>
        <w:pStyle w:val="23"/>
        <w:rPr>
          <w:rFonts w:hint="default"/>
          <w:i w:val="0"/>
          <w:iCs/>
          <w:lang w:val="en-US" w:eastAsia="zh-CN"/>
        </w:rPr>
      </w:pPr>
      <w:r>
        <w:rPr>
          <w:rFonts w:hint="eastAsia"/>
          <w:i w:val="0"/>
          <w:iCs/>
          <w:lang w:val="en-US" w:eastAsia="zh-CN"/>
        </w:rPr>
        <w:t>SA2 for the 6G system aspects.</w:t>
      </w:r>
    </w:p>
    <w:p w14:paraId="798971FA"/>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6"/>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5"/>
              <w:rPr>
                <w:rFonts w:hint="default" w:eastAsia="宋体"/>
                <w:lang w:val="en-US" w:eastAsia="zh-CN"/>
              </w:rPr>
            </w:pPr>
            <w:r>
              <w:rPr>
                <w:rFonts w:hint="eastAsia" w:eastAsia="宋体"/>
                <w:lang w:val="en-US" w:eastAsia="zh-CN"/>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5"/>
            </w:pP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5"/>
            </w:pP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5"/>
            </w:pP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5"/>
            </w:pP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5"/>
            </w:pPr>
          </w:p>
        </w:tc>
      </w:tr>
    </w:tbl>
    <w:p w14:paraId="30E19F71"/>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32B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570E"/>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F36BC"/>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176B"/>
    <w:rsid w:val="00AF4118"/>
    <w:rsid w:val="00B00077"/>
    <w:rsid w:val="00B0194A"/>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4E1E"/>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643D"/>
    <w:rsid w:val="00FD1DAF"/>
    <w:rsid w:val="00FD37FE"/>
    <w:rsid w:val="00FE3DCC"/>
    <w:rsid w:val="00FE53C8"/>
    <w:rsid w:val="00FE5FB7"/>
    <w:rsid w:val="00FF44E4"/>
    <w:rsid w:val="01320784"/>
    <w:rsid w:val="023B4C37"/>
    <w:rsid w:val="02736B92"/>
    <w:rsid w:val="029D2CAD"/>
    <w:rsid w:val="03405CA0"/>
    <w:rsid w:val="03B867ED"/>
    <w:rsid w:val="045C66B2"/>
    <w:rsid w:val="04DE3916"/>
    <w:rsid w:val="0522489F"/>
    <w:rsid w:val="05CD4D9F"/>
    <w:rsid w:val="0646636A"/>
    <w:rsid w:val="067078DB"/>
    <w:rsid w:val="06712BD7"/>
    <w:rsid w:val="07514512"/>
    <w:rsid w:val="076A17A5"/>
    <w:rsid w:val="07A27A04"/>
    <w:rsid w:val="07B73D57"/>
    <w:rsid w:val="089C0B27"/>
    <w:rsid w:val="0A3B736B"/>
    <w:rsid w:val="0AED769F"/>
    <w:rsid w:val="0B2E312D"/>
    <w:rsid w:val="0B7F6595"/>
    <w:rsid w:val="0C432ED5"/>
    <w:rsid w:val="0D687E4F"/>
    <w:rsid w:val="0E8A7DA7"/>
    <w:rsid w:val="0EAE1EA5"/>
    <w:rsid w:val="0EC34D55"/>
    <w:rsid w:val="0ED46862"/>
    <w:rsid w:val="0EF45FEF"/>
    <w:rsid w:val="0F205212"/>
    <w:rsid w:val="0FAF74C9"/>
    <w:rsid w:val="0FC02FE7"/>
    <w:rsid w:val="10616682"/>
    <w:rsid w:val="10AF4E6E"/>
    <w:rsid w:val="10B932E0"/>
    <w:rsid w:val="121200DD"/>
    <w:rsid w:val="12270675"/>
    <w:rsid w:val="1277225B"/>
    <w:rsid w:val="13C568B3"/>
    <w:rsid w:val="14DE5ECD"/>
    <w:rsid w:val="15923915"/>
    <w:rsid w:val="16846C85"/>
    <w:rsid w:val="16A67EC0"/>
    <w:rsid w:val="170814E8"/>
    <w:rsid w:val="17B7074A"/>
    <w:rsid w:val="17D631C0"/>
    <w:rsid w:val="181D3326"/>
    <w:rsid w:val="19A84FB7"/>
    <w:rsid w:val="19C3210F"/>
    <w:rsid w:val="19F351B3"/>
    <w:rsid w:val="1A6F586F"/>
    <w:rsid w:val="1A7B0127"/>
    <w:rsid w:val="1B2E5083"/>
    <w:rsid w:val="1C4E244B"/>
    <w:rsid w:val="1C7217BC"/>
    <w:rsid w:val="1C785566"/>
    <w:rsid w:val="1CBF3870"/>
    <w:rsid w:val="1DDC3DD2"/>
    <w:rsid w:val="1E2F70F4"/>
    <w:rsid w:val="1EB450DB"/>
    <w:rsid w:val="1F603B68"/>
    <w:rsid w:val="20776154"/>
    <w:rsid w:val="21D029E1"/>
    <w:rsid w:val="22F22F1A"/>
    <w:rsid w:val="2374080F"/>
    <w:rsid w:val="23FF22F1"/>
    <w:rsid w:val="247D54F3"/>
    <w:rsid w:val="251C666F"/>
    <w:rsid w:val="268E426A"/>
    <w:rsid w:val="26A60E77"/>
    <w:rsid w:val="2701028C"/>
    <w:rsid w:val="27DC726F"/>
    <w:rsid w:val="282A31F1"/>
    <w:rsid w:val="28791B95"/>
    <w:rsid w:val="28E95B8F"/>
    <w:rsid w:val="29234C51"/>
    <w:rsid w:val="292C4E40"/>
    <w:rsid w:val="2A1D6EA4"/>
    <w:rsid w:val="2B1C3740"/>
    <w:rsid w:val="2CCB328B"/>
    <w:rsid w:val="2D2F4BE6"/>
    <w:rsid w:val="2D942038"/>
    <w:rsid w:val="2DB463C6"/>
    <w:rsid w:val="2DDF2068"/>
    <w:rsid w:val="2E246D3F"/>
    <w:rsid w:val="2E366468"/>
    <w:rsid w:val="2E4317F2"/>
    <w:rsid w:val="2F981D7F"/>
    <w:rsid w:val="304F177D"/>
    <w:rsid w:val="328157E0"/>
    <w:rsid w:val="32D7063F"/>
    <w:rsid w:val="338C640D"/>
    <w:rsid w:val="3510699D"/>
    <w:rsid w:val="357566C2"/>
    <w:rsid w:val="361913CE"/>
    <w:rsid w:val="362A056A"/>
    <w:rsid w:val="36C450EA"/>
    <w:rsid w:val="36FE6725"/>
    <w:rsid w:val="370F669F"/>
    <w:rsid w:val="379F1885"/>
    <w:rsid w:val="37B101EB"/>
    <w:rsid w:val="38B406FD"/>
    <w:rsid w:val="3ABB0210"/>
    <w:rsid w:val="3B337E2C"/>
    <w:rsid w:val="3B696996"/>
    <w:rsid w:val="3BF43141"/>
    <w:rsid w:val="3C165EA1"/>
    <w:rsid w:val="3C94676F"/>
    <w:rsid w:val="3E767F89"/>
    <w:rsid w:val="3EAA2C5A"/>
    <w:rsid w:val="3EF734DD"/>
    <w:rsid w:val="3EF77B0F"/>
    <w:rsid w:val="3F970061"/>
    <w:rsid w:val="421B1084"/>
    <w:rsid w:val="439C0FAC"/>
    <w:rsid w:val="4650656B"/>
    <w:rsid w:val="46C96D1E"/>
    <w:rsid w:val="477E10DD"/>
    <w:rsid w:val="47BF1C45"/>
    <w:rsid w:val="47CC4581"/>
    <w:rsid w:val="47CD3204"/>
    <w:rsid w:val="484E6031"/>
    <w:rsid w:val="48686BDB"/>
    <w:rsid w:val="48A1148C"/>
    <w:rsid w:val="4900228E"/>
    <w:rsid w:val="49963DC9"/>
    <w:rsid w:val="4BA402A6"/>
    <w:rsid w:val="4C196F82"/>
    <w:rsid w:val="4CD26785"/>
    <w:rsid w:val="4CD906A3"/>
    <w:rsid w:val="4D227280"/>
    <w:rsid w:val="4DB53509"/>
    <w:rsid w:val="4F027851"/>
    <w:rsid w:val="4FE5544C"/>
    <w:rsid w:val="50463550"/>
    <w:rsid w:val="504D0FCF"/>
    <w:rsid w:val="50B079EF"/>
    <w:rsid w:val="521627B9"/>
    <w:rsid w:val="523555EC"/>
    <w:rsid w:val="54027655"/>
    <w:rsid w:val="54D33936"/>
    <w:rsid w:val="54EA3B65"/>
    <w:rsid w:val="5603022F"/>
    <w:rsid w:val="564D39EC"/>
    <w:rsid w:val="571873F4"/>
    <w:rsid w:val="579153FF"/>
    <w:rsid w:val="57F86A62"/>
    <w:rsid w:val="58011DC5"/>
    <w:rsid w:val="5830463D"/>
    <w:rsid w:val="59754F6E"/>
    <w:rsid w:val="5B584E6A"/>
    <w:rsid w:val="5BC86D34"/>
    <w:rsid w:val="5BD966BD"/>
    <w:rsid w:val="5C3D1C65"/>
    <w:rsid w:val="5E230800"/>
    <w:rsid w:val="5EED688A"/>
    <w:rsid w:val="5F516A0F"/>
    <w:rsid w:val="60AB1F95"/>
    <w:rsid w:val="60D66F29"/>
    <w:rsid w:val="618D2D9B"/>
    <w:rsid w:val="62464A53"/>
    <w:rsid w:val="62DF14AC"/>
    <w:rsid w:val="62F52AF6"/>
    <w:rsid w:val="633C4FAC"/>
    <w:rsid w:val="64EC2006"/>
    <w:rsid w:val="65414DC6"/>
    <w:rsid w:val="6729407E"/>
    <w:rsid w:val="67366235"/>
    <w:rsid w:val="69AA4EE0"/>
    <w:rsid w:val="69C8489A"/>
    <w:rsid w:val="6A080CBF"/>
    <w:rsid w:val="6B62463B"/>
    <w:rsid w:val="6BD20172"/>
    <w:rsid w:val="6D000BE4"/>
    <w:rsid w:val="6DD96349"/>
    <w:rsid w:val="6E981BFF"/>
    <w:rsid w:val="6EB56B05"/>
    <w:rsid w:val="6F651555"/>
    <w:rsid w:val="70F536CF"/>
    <w:rsid w:val="716952A0"/>
    <w:rsid w:val="71EE54F9"/>
    <w:rsid w:val="724855D9"/>
    <w:rsid w:val="74152900"/>
    <w:rsid w:val="763F235F"/>
    <w:rsid w:val="77486696"/>
    <w:rsid w:val="785704CB"/>
    <w:rsid w:val="7875412E"/>
    <w:rsid w:val="7ACB5B19"/>
    <w:rsid w:val="7B9952C7"/>
    <w:rsid w:val="7C02272F"/>
    <w:rsid w:val="7C312C50"/>
    <w:rsid w:val="7C5D3714"/>
    <w:rsid w:val="7D3A18AA"/>
    <w:rsid w:val="7DC06BDF"/>
    <w:rsid w:val="7F671D89"/>
    <w:rsid w:val="7FDC23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1125</Words>
  <Characters>6414</Characters>
  <Lines>53</Lines>
  <Paragraphs>15</Paragraphs>
  <TotalTime>88</TotalTime>
  <ScaleCrop>false</ScaleCrop>
  <LinksUpToDate>false</LinksUpToDate>
  <CharactersWithSpaces>7524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LiuYue250801</cp:lastModifiedBy>
  <cp:lastPrinted>2001-04-23T09:30:00Z</cp:lastPrinted>
  <dcterms:modified xsi:type="dcterms:W3CDTF">2025-08-18T08:05:32Z</dcterms:modified>
  <dc:title>Source: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B072DE0E2C314C2DB9E5186702AB6DB2_13</vt:lpwstr>
  </property>
</Properties>
</file>